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C62" w:rsidRPr="00B55C62" w:rsidRDefault="00B55C62" w:rsidP="00B55C62">
      <w:pPr>
        <w:spacing w:after="160" w:line="240" w:lineRule="auto"/>
        <w:rPr>
          <w:rFonts w:ascii="Cambria" w:eastAsia="Cambria" w:hAnsi="Cambria" w:cs="Times New Roman"/>
          <w:b/>
          <w:sz w:val="24"/>
          <w:szCs w:val="24"/>
        </w:rPr>
      </w:pPr>
      <w:r w:rsidRPr="00B55C62">
        <w:rPr>
          <w:rFonts w:ascii="Cambria" w:eastAsia="Cambria" w:hAnsi="Cambria" w:cs="Times New Roman"/>
          <w:b/>
          <w:sz w:val="24"/>
          <w:szCs w:val="24"/>
        </w:rPr>
        <w:t>Evaluation of chronic pain in dogs following surgical stabilisation of humeral condylar fracture or fissure: 105 cases</w:t>
      </w:r>
    </w:p>
    <w:p w:rsidR="00B55C62" w:rsidRPr="00B55C62" w:rsidRDefault="00B55C62" w:rsidP="00B55C62">
      <w:pPr>
        <w:spacing w:after="160" w:line="360" w:lineRule="auto"/>
        <w:rPr>
          <w:rFonts w:ascii="Cambria" w:eastAsia="Cambria" w:hAnsi="Cambria" w:cs="Times New Roman"/>
          <w:vertAlign w:val="superscript"/>
        </w:rPr>
      </w:pPr>
      <w:proofErr w:type="spellStart"/>
      <w:r w:rsidRPr="00B55C62">
        <w:rPr>
          <w:rFonts w:ascii="Cambria" w:eastAsia="Cambria" w:hAnsi="Cambria" w:cs="Times New Roman"/>
          <w:u w:val="single"/>
        </w:rPr>
        <w:t>Meakin</w:t>
      </w:r>
      <w:proofErr w:type="spellEnd"/>
      <w:r w:rsidRPr="00B55C62">
        <w:rPr>
          <w:rFonts w:ascii="Cambria" w:eastAsia="Cambria" w:hAnsi="Cambria" w:cs="Times New Roman"/>
          <w:u w:val="single"/>
        </w:rPr>
        <w:t xml:space="preserve"> LB</w:t>
      </w:r>
      <w:r w:rsidRPr="00B55C62">
        <w:rPr>
          <w:rFonts w:ascii="Cambria" w:eastAsia="Cambria" w:hAnsi="Cambria" w:cs="Times New Roman"/>
          <w:vertAlign w:val="superscript"/>
        </w:rPr>
        <w:t>1</w:t>
      </w:r>
      <w:r w:rsidRPr="00B55C62">
        <w:rPr>
          <w:rFonts w:ascii="Cambria" w:eastAsia="Cambria" w:hAnsi="Cambria" w:cs="Times New Roman"/>
        </w:rPr>
        <w:t>, Lane TS</w:t>
      </w:r>
      <w:r w:rsidRPr="00B55C62">
        <w:rPr>
          <w:rFonts w:ascii="Cambria" w:eastAsia="Cambria" w:hAnsi="Cambria" w:cs="Times New Roman"/>
          <w:vertAlign w:val="superscript"/>
        </w:rPr>
        <w:t>1</w:t>
      </w:r>
      <w:r w:rsidRPr="00B55C62">
        <w:rPr>
          <w:rFonts w:ascii="Cambria" w:eastAsia="Cambria" w:hAnsi="Cambria" w:cs="Times New Roman"/>
        </w:rPr>
        <w:t>, Burns A</w:t>
      </w:r>
      <w:r w:rsidRPr="00B55C62">
        <w:rPr>
          <w:rFonts w:ascii="Cambria" w:eastAsia="Cambria" w:hAnsi="Cambria" w:cs="Times New Roman"/>
          <w:vertAlign w:val="superscript"/>
        </w:rPr>
        <w:t>1</w:t>
      </w:r>
      <w:r w:rsidRPr="00B55C62">
        <w:rPr>
          <w:rFonts w:ascii="Cambria" w:eastAsia="Cambria" w:hAnsi="Cambria" w:cs="Times New Roman"/>
        </w:rPr>
        <w:t>, Burton NJ</w:t>
      </w:r>
      <w:r w:rsidRPr="00B55C62">
        <w:rPr>
          <w:rFonts w:ascii="Cambria" w:eastAsia="Cambria" w:hAnsi="Cambria" w:cs="Times New Roman"/>
          <w:vertAlign w:val="superscript"/>
        </w:rPr>
        <w:t>1</w:t>
      </w:r>
      <w:r w:rsidRPr="00B55C62">
        <w:rPr>
          <w:rFonts w:ascii="Cambria" w:eastAsia="Cambria" w:hAnsi="Cambria" w:cs="Times New Roman"/>
        </w:rPr>
        <w:t>, Langley-Hobbs SJ</w:t>
      </w:r>
      <w:r w:rsidRPr="00B55C62">
        <w:rPr>
          <w:rFonts w:ascii="Cambria" w:eastAsia="Cambria" w:hAnsi="Cambria" w:cs="Times New Roman"/>
          <w:vertAlign w:val="superscript"/>
        </w:rPr>
        <w:t>1</w:t>
      </w:r>
      <w:r w:rsidRPr="00B55C62">
        <w:rPr>
          <w:rFonts w:ascii="Cambria" w:eastAsia="Cambria" w:hAnsi="Cambria" w:cs="Times New Roman"/>
        </w:rPr>
        <w:t>, Parsons KJ</w:t>
      </w:r>
      <w:r w:rsidRPr="00B55C62">
        <w:rPr>
          <w:rFonts w:ascii="Cambria" w:eastAsia="Cambria" w:hAnsi="Cambria" w:cs="Times New Roman"/>
          <w:vertAlign w:val="superscript"/>
        </w:rPr>
        <w:t>1</w:t>
      </w:r>
    </w:p>
    <w:p w:rsidR="00B55C62" w:rsidRPr="00B55C62" w:rsidRDefault="00B55C62" w:rsidP="00B55C62">
      <w:pPr>
        <w:spacing w:after="160" w:line="360" w:lineRule="auto"/>
        <w:rPr>
          <w:rFonts w:ascii="Cambria" w:eastAsia="Cambria" w:hAnsi="Cambria" w:cs="Times New Roman"/>
          <w:bCs/>
          <w:sz w:val="20"/>
          <w:szCs w:val="20"/>
        </w:rPr>
      </w:pPr>
      <w:proofErr w:type="gramStart"/>
      <w:r w:rsidRPr="00B55C62">
        <w:rPr>
          <w:rFonts w:ascii="Cambria" w:eastAsia="Cambria" w:hAnsi="Cambria" w:cs="Times New Roman"/>
          <w:bCs/>
          <w:sz w:val="20"/>
          <w:szCs w:val="20"/>
          <w:vertAlign w:val="superscript"/>
        </w:rPr>
        <w:t>1</w:t>
      </w:r>
      <w:r w:rsidRPr="00B55C62">
        <w:rPr>
          <w:rFonts w:ascii="Cambria" w:eastAsia="Cambria" w:hAnsi="Cambria" w:cs="Times New Roman"/>
          <w:bCs/>
          <w:sz w:val="20"/>
          <w:szCs w:val="20"/>
        </w:rPr>
        <w:t xml:space="preserve"> Langford Veterinary Services, University of Bristol, Langford House, Langford, Bristol, </w:t>
      </w:r>
      <w:r w:rsidRPr="00B55C62">
        <w:rPr>
          <w:rFonts w:ascii="Cambria" w:eastAsia="Cambria" w:hAnsi="Cambria" w:cs="Times New Roman"/>
          <w:sz w:val="20"/>
          <w:szCs w:val="20"/>
          <w:lang w:eastAsia="en-GB"/>
        </w:rPr>
        <w:t>UK.</w:t>
      </w:r>
      <w:proofErr w:type="gramEnd"/>
    </w:p>
    <w:p w:rsidR="00B55C62" w:rsidRPr="00B55C62" w:rsidRDefault="00B55C62" w:rsidP="00B55C62">
      <w:pPr>
        <w:autoSpaceDE w:val="0"/>
        <w:autoSpaceDN w:val="0"/>
        <w:adjustRightInd w:val="0"/>
        <w:spacing w:after="240" w:line="360" w:lineRule="auto"/>
        <w:jc w:val="both"/>
        <w:rPr>
          <w:rFonts w:ascii="Times New Roman" w:eastAsia="Cambria" w:hAnsi="Times New Roman" w:cs="Times New Roman"/>
          <w:b/>
        </w:rPr>
      </w:pPr>
    </w:p>
    <w:p w:rsidR="00B55C62" w:rsidRPr="00B55C62" w:rsidRDefault="00B55C62" w:rsidP="00B55C62">
      <w:pPr>
        <w:autoSpaceDE w:val="0"/>
        <w:autoSpaceDN w:val="0"/>
        <w:adjustRightInd w:val="0"/>
        <w:spacing w:after="240" w:line="360" w:lineRule="auto"/>
        <w:jc w:val="both"/>
        <w:rPr>
          <w:rFonts w:ascii="Times New Roman" w:eastAsia="Cambria" w:hAnsi="Times New Roman" w:cs="Times New Roman"/>
        </w:rPr>
      </w:pPr>
      <w:r w:rsidRPr="00B55C62">
        <w:rPr>
          <w:rFonts w:ascii="Times New Roman" w:eastAsia="Cambria" w:hAnsi="Times New Roman" w:cs="Times New Roman"/>
          <w:b/>
        </w:rPr>
        <w:t>Objective:</w:t>
      </w:r>
      <w:r w:rsidRPr="00B55C62">
        <w:rPr>
          <w:rFonts w:ascii="Times New Roman" w:eastAsia="Cambria" w:hAnsi="Times New Roman" w:cs="Times New Roman"/>
        </w:rPr>
        <w:t xml:space="preserve"> To evaluate the long-term outcome of </w:t>
      </w:r>
      <w:proofErr w:type="gramStart"/>
      <w:r w:rsidRPr="00B55C62">
        <w:rPr>
          <w:rFonts w:ascii="Times New Roman" w:eastAsia="Cambria" w:hAnsi="Times New Roman" w:cs="Times New Roman"/>
        </w:rPr>
        <w:t>dogs following</w:t>
      </w:r>
      <w:proofErr w:type="gramEnd"/>
      <w:r w:rsidRPr="00B55C62">
        <w:rPr>
          <w:rFonts w:ascii="Times New Roman" w:eastAsia="Cambria" w:hAnsi="Times New Roman" w:cs="Times New Roman"/>
        </w:rPr>
        <w:t xml:space="preserve"> surgical stabilisation of a humeral condylar fractures or fissures using an owner questionnaire.</w:t>
      </w:r>
    </w:p>
    <w:p w:rsidR="00B55C62" w:rsidRPr="00B55C62" w:rsidRDefault="00B55C62" w:rsidP="00B55C62">
      <w:pPr>
        <w:spacing w:after="240" w:line="360" w:lineRule="auto"/>
        <w:jc w:val="both"/>
        <w:rPr>
          <w:rFonts w:ascii="Cambria" w:eastAsia="Cambria" w:hAnsi="Cambria" w:cs="Times New Roman"/>
        </w:rPr>
      </w:pPr>
      <w:r w:rsidRPr="00B55C62">
        <w:rPr>
          <w:rFonts w:ascii="Cambria" w:eastAsia="Cambria" w:hAnsi="Cambria" w:cs="Times New Roman"/>
          <w:b/>
        </w:rPr>
        <w:t>Study design:</w:t>
      </w:r>
      <w:r w:rsidRPr="00B55C62">
        <w:rPr>
          <w:rFonts w:ascii="Cambria" w:eastAsia="Cambria" w:hAnsi="Cambria" w:cs="Times New Roman"/>
        </w:rPr>
        <w:t xml:space="preserve"> Retrospective case series</w:t>
      </w:r>
    </w:p>
    <w:p w:rsidR="00B55C62" w:rsidRPr="00B55C62" w:rsidRDefault="00B55C62" w:rsidP="00B55C62">
      <w:pPr>
        <w:spacing w:after="240" w:line="360" w:lineRule="auto"/>
        <w:jc w:val="both"/>
        <w:rPr>
          <w:rFonts w:ascii="Cambria" w:eastAsia="Cambria" w:hAnsi="Cambria" w:cs="Times New Roman"/>
        </w:rPr>
      </w:pPr>
      <w:r w:rsidRPr="00B55C62">
        <w:rPr>
          <w:rFonts w:ascii="Cambria" w:eastAsia="Cambria" w:hAnsi="Cambria" w:cs="Times New Roman"/>
          <w:b/>
        </w:rPr>
        <w:t>Methods:</w:t>
      </w:r>
      <w:r w:rsidRPr="00B55C62">
        <w:rPr>
          <w:rFonts w:ascii="Cambria" w:eastAsia="Cambria" w:hAnsi="Cambria" w:cs="Times New Roman"/>
        </w:rPr>
        <w:t xml:space="preserve"> Case records were searched to identify dogs which had surgical stabilisation of a humeral condylar fracture or fissure. Data obtained included age, breed, fracture/fissure configuration, stabilisation method and post-operative complications. Owners were contacted a minimum of 1 year after surgery to determine whether dogs required analgesia, exercise tolerance and overall quality of life assessment using the validated Helsinki Chronic Pain Index (HCPI) to evaluate the presence of chronic pain.</w:t>
      </w:r>
    </w:p>
    <w:p w:rsidR="00B55C62" w:rsidRPr="00B55C62" w:rsidRDefault="00B55C62" w:rsidP="00B55C62">
      <w:pPr>
        <w:spacing w:after="240" w:line="360" w:lineRule="auto"/>
        <w:jc w:val="both"/>
        <w:rPr>
          <w:rFonts w:ascii="Cambria" w:eastAsia="Cambria" w:hAnsi="Cambria" w:cs="Times New Roman"/>
        </w:rPr>
      </w:pPr>
      <w:r w:rsidRPr="00B55C62">
        <w:rPr>
          <w:rFonts w:ascii="Times New Roman" w:eastAsia="Cambria" w:hAnsi="Times New Roman" w:cs="Times New Roman"/>
          <w:b/>
        </w:rPr>
        <w:t xml:space="preserve">Results: </w:t>
      </w:r>
      <w:r w:rsidRPr="00B55C62">
        <w:rPr>
          <w:rFonts w:ascii="Times New Roman" w:eastAsia="Cambria" w:hAnsi="Times New Roman" w:cs="Times New Roman"/>
        </w:rPr>
        <w:t xml:space="preserve">165 dogs were identified and owners were contactable for 106 dogs (64%). 32 elbows had humeral </w:t>
      </w:r>
      <w:proofErr w:type="spellStart"/>
      <w:r w:rsidRPr="00B55C62">
        <w:rPr>
          <w:rFonts w:ascii="Times New Roman" w:eastAsia="Cambria" w:hAnsi="Times New Roman" w:cs="Times New Roman"/>
        </w:rPr>
        <w:t>intracondylar</w:t>
      </w:r>
      <w:proofErr w:type="spellEnd"/>
      <w:r w:rsidRPr="00B55C62">
        <w:rPr>
          <w:rFonts w:ascii="Times New Roman" w:eastAsia="Cambria" w:hAnsi="Times New Roman" w:cs="Times New Roman"/>
        </w:rPr>
        <w:t xml:space="preserve"> fissures, 67 had fractures of the lateral or medial aspect of the condyle and 29 had fractures of both aspects (Y/T-fracture). Complications occurred in 50 dogs including swelling (13 elbows), pain (26 elbows), </w:t>
      </w:r>
      <w:proofErr w:type="gramStart"/>
      <w:r w:rsidRPr="00B55C62">
        <w:rPr>
          <w:rFonts w:ascii="Times New Roman" w:eastAsia="Cambria" w:hAnsi="Times New Roman" w:cs="Times New Roman"/>
        </w:rPr>
        <w:t>implant</w:t>
      </w:r>
      <w:proofErr w:type="gramEnd"/>
      <w:r w:rsidRPr="00B55C62">
        <w:rPr>
          <w:rFonts w:ascii="Times New Roman" w:eastAsia="Cambria" w:hAnsi="Times New Roman" w:cs="Times New Roman"/>
        </w:rPr>
        <w:t xml:space="preserve"> failure (13 elbows) and infection (10 elbows). 13 dogs required revision surgery, all for implant failure. Mean follow-up time was 3.8 ± 0.2 years. C</w:t>
      </w:r>
      <w:r w:rsidRPr="00B55C62">
        <w:rPr>
          <w:rFonts w:ascii="Cambria" w:eastAsia="Cambria" w:hAnsi="Cambria" w:cs="Times New Roman"/>
        </w:rPr>
        <w:t>hronic pain was identified using the HCPI in 20% of cases. The mean age of the dogs at the time of fracture (p=0.006) and at the time of questioning (p&lt;0.001) was higher in dogs with chronic pain. Exercise tolerance was reduced (p=0.048), lameness observed more frequently (p=0.001) and owner perceived quality of life poorer (p&lt;0.001) in dogs with chronic pain.</w:t>
      </w:r>
    </w:p>
    <w:p w:rsidR="00B55C62" w:rsidRPr="00B55C62" w:rsidRDefault="00B55C62" w:rsidP="00B55C62">
      <w:pPr>
        <w:spacing w:after="160" w:line="360" w:lineRule="auto"/>
        <w:jc w:val="both"/>
        <w:rPr>
          <w:rFonts w:ascii="Cambria" w:eastAsia="Cambria" w:hAnsi="Cambria" w:cs="Times New Roman"/>
        </w:rPr>
      </w:pPr>
      <w:r w:rsidRPr="00B55C62">
        <w:rPr>
          <w:rFonts w:ascii="Cambria" w:eastAsia="Cambria" w:hAnsi="Cambria" w:cs="Times New Roman"/>
          <w:b/>
        </w:rPr>
        <w:t xml:space="preserve">Conclusions: </w:t>
      </w:r>
      <w:r w:rsidRPr="00B55C62">
        <w:rPr>
          <w:rFonts w:ascii="Cambria" w:eastAsia="Cambria" w:hAnsi="Cambria" w:cs="Times New Roman"/>
        </w:rPr>
        <w:t>Chronic pain was identified in 20% of dogs following fracture/fissure of the humeral condyle.</w:t>
      </w:r>
    </w:p>
    <w:p w:rsidR="009609CE" w:rsidRDefault="009609CE">
      <w:bookmarkStart w:id="0" w:name="_GoBack"/>
      <w:bookmarkEnd w:id="0"/>
    </w:p>
    <w:sectPr w:rsidR="00960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62"/>
    <w:rsid w:val="009609CE"/>
    <w:rsid w:val="00B55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elwood</dc:creator>
  <cp:lastModifiedBy>elwood</cp:lastModifiedBy>
  <cp:revision>1</cp:revision>
  <dcterms:created xsi:type="dcterms:W3CDTF">2016-05-26T08:35:00Z</dcterms:created>
  <dcterms:modified xsi:type="dcterms:W3CDTF">2016-05-26T08:36:00Z</dcterms:modified>
</cp:coreProperties>
</file>